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808B3" w:rsidTr="00041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8B3" w:rsidRPr="00344B32" w:rsidRDefault="00A808B3" w:rsidP="00041869">
            <w:pPr>
              <w:pStyle w:val="1"/>
              <w:rPr>
                <w:color w:val="auto"/>
              </w:rPr>
            </w:pPr>
            <w:r w:rsidRPr="00344B32">
              <w:rPr>
                <w:color w:val="auto"/>
              </w:rPr>
              <w:t xml:space="preserve">Особи, що працюють за цивільно-правовим договором, отримали право на матеріальне забезпечення від Фонду </w:t>
            </w:r>
            <w:r>
              <w:rPr>
                <w:color w:val="auto"/>
              </w:rPr>
              <w:t>соціального страхування україни</w:t>
            </w:r>
          </w:p>
        </w:tc>
      </w:tr>
      <w:tr w:rsidR="00A808B3" w:rsidTr="00041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8B3" w:rsidRPr="000C25CA" w:rsidRDefault="00A808B3" w:rsidP="00041869">
            <w:pPr>
              <w:rPr>
                <w:lang w:val="uk-UA"/>
              </w:rPr>
            </w:pPr>
          </w:p>
        </w:tc>
      </w:tr>
      <w:tr w:rsidR="00A808B3" w:rsidTr="00041869">
        <w:trPr>
          <w:tblCellSpacing w:w="0" w:type="dxa"/>
        </w:trPr>
        <w:tc>
          <w:tcPr>
            <w:tcW w:w="0" w:type="auto"/>
            <w:vAlign w:val="center"/>
            <w:hideMark/>
          </w:tcPr>
          <w:p w:rsidR="00A808B3" w:rsidRDefault="00A808B3" w:rsidP="00041869">
            <w:pPr>
              <w:ind w:firstLine="709"/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За результатами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розгляду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звернень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громадян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установ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організацій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Міністерством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соціальної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політики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листом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17.12.2017 №571/0/86-17/218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надані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відповідні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роз’яснення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щодо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матеріального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особам,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працюють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умовах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цивільно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-правового договору. </w:t>
            </w:r>
          </w:p>
          <w:p w:rsidR="00A808B3" w:rsidRDefault="00A808B3" w:rsidP="00041869">
            <w:pPr>
              <w:ind w:firstLine="709"/>
              <w:jc w:val="both"/>
            </w:pPr>
            <w:r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статті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18 Закону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загальнообов’язкове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державне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соц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іальне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далі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Закон) особи,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працюють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умовах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цивільно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-правового договору,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підлягають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зв’язку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тимчасовою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втратою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808B3" w:rsidRDefault="00A808B3" w:rsidP="00041869">
            <w:pPr>
              <w:ind w:firstLine="709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Статтею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19 Закону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визначено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застрахованих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осіб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матеріальне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соц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іальні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зв’язку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тимчасовою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втратою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право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виникає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настанням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страхового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випадку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період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включаючи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випробування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день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звільнення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зайняття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підприємницькою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іншою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діяльністю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якщо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інше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передбачено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законом.</w:t>
            </w:r>
          </w:p>
          <w:p w:rsidR="00A808B3" w:rsidRDefault="00A808B3" w:rsidP="00041869">
            <w:pPr>
              <w:ind w:firstLine="709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статті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30 Закону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матеріальне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соц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іальні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послуги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зв’язку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тимчасовою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втратою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застрахованим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особам,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працюють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умовах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цивільно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-правового договору,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призначаються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надаються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основним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місцем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).</w:t>
            </w:r>
          </w:p>
          <w:p w:rsidR="00A808B3" w:rsidRDefault="00A808B3" w:rsidP="00041869">
            <w:pPr>
              <w:ind w:firstLine="709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Допомога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тимчасовій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включаючи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догляд за хворою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дитиною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допомога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вагітності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пологах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застрахованим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особам (у тому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числі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здійснюють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ідприємницьку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іншу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одночасно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працюють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умовах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трудового договору)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надається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основним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місцем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та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сумісництвом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(наймом).</w:t>
            </w:r>
          </w:p>
          <w:p w:rsidR="00A808B3" w:rsidRDefault="00A808B3" w:rsidP="00041869">
            <w:pPr>
              <w:ind w:firstLine="709"/>
              <w:jc w:val="both"/>
            </w:pP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ідставою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допомоги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тимчасовій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вагітності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пологах є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виданий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встановленому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порядку листок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разі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сумісництвом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трудовим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договором (контрактом)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одночасно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із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здійсненням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підприємницької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іншої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підставою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призначення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допомоги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є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копія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листка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засвідчена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підписом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керівника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печаткою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наявності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основним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місцем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застрахованих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осіб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одночасно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здійснюють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ідприємницьку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іншу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діяльність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і не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працюють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умовах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трудового договору (контракту),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копію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листка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засвідчує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установа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охорони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здоров’я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його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видає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стаття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31 Закону).</w:t>
            </w:r>
          </w:p>
          <w:p w:rsidR="00A808B3" w:rsidRDefault="00A808B3" w:rsidP="00041869">
            <w:pPr>
              <w:ind w:firstLine="709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статті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34 Закону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фінансування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страхувальників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матеріального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застрахованим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особам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здійснюється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робочими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органами Фонду на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ідставі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оформленої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встановленим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зразком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заяви-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розрахунку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що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містить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інформацію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нараховані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застрахованим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особам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матеріального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їх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видами.</w:t>
            </w:r>
          </w:p>
          <w:p w:rsidR="00A808B3" w:rsidRDefault="00A808B3" w:rsidP="00041869">
            <w:pPr>
              <w:ind w:firstLine="709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Фінансування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матеріального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осіб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працюють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умовах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цивільно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-правового договору,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пропонується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здійснювати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ідставі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заяви-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розрахунку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(форма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сьогодні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затверджена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Порядком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фінансування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страхувальників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надання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застрахованим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особам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матеріального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рахунок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коштів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Фонду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соціального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тимчасової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втрати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затвердженим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правління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Фонду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22.12.2010 № 26).</w:t>
            </w:r>
          </w:p>
          <w:p w:rsidR="00A808B3" w:rsidRDefault="00A808B3" w:rsidP="00041869">
            <w:pPr>
              <w:ind w:firstLine="709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Механізм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обчислення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середньої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заробітної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плати (доходу)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розрахунку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страхових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виплат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визначено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Порядком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обчислення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середньої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заробітної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плати (доходу, грошового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розрахунку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виплат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загальнообов’язковим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державним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соц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іальним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затвердженим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постановою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Кабінету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Міністрів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26.09.2001 № 1266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далі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Порядок).</w:t>
            </w:r>
          </w:p>
          <w:p w:rsidR="00A808B3" w:rsidRDefault="00A808B3" w:rsidP="00041869">
            <w:pPr>
              <w:ind w:firstLine="709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Зокрема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обчислення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середньоденного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доходу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розрахунку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страхових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виплат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особам,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працюють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умовах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цивільно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-правового договору,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може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здійснюватися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 абзацу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першого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пункту 2 та пункту 3 Порядку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місцем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здійснення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умовах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цивільно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-правового договору,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настав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страховий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випадок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808B3" w:rsidRDefault="00A808B3" w:rsidP="00041869">
            <w:pPr>
              <w:ind w:firstLine="709"/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випадку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коли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застрахована особа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одночасно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здійснює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декілька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видів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працює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умовах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трудового договору,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цивільно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-правового договору, є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фізичною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особою-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підприємцем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тощо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), на думку </w:t>
            </w:r>
            <w:proofErr w:type="spellStart"/>
            <w:r>
              <w:rPr>
                <w:rStyle w:val="spelle"/>
                <w:rFonts w:ascii="Verdana" w:hAnsi="Verdana"/>
                <w:sz w:val="20"/>
                <w:szCs w:val="20"/>
              </w:rPr>
              <w:t>Мінсоцполітики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допомоги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має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здійснюватися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окремо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кожним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місцем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діяльності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аналогічно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як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визначено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пунктом 30 Порядку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осіб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працюють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сумісництвом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808B3" w:rsidRDefault="00A808B3" w:rsidP="00041869">
            <w:pPr>
              <w:ind w:firstLine="709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Середній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дохід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розрахунку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допомоги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вагітності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пологах і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допомоги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тимчасовій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обчислюється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страхувальниками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ідставі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відомостей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що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включаються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звіту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нарахованої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заробітної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плати (доходу, грошового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допомоги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компенсації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застрахованих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осіб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нарахованого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єдиного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внеску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загальнообов’язкове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державне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соціальне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що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подаються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 ДФС (пункт 32 Порядку).</w:t>
            </w:r>
          </w:p>
          <w:p w:rsidR="00A808B3" w:rsidRDefault="00A808B3" w:rsidP="00041869">
            <w:pPr>
              <w:ind w:firstLine="709"/>
              <w:jc w:val="both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Тому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розрахунок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матеріального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осіб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працюють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умовах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цивільно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-правового договору,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має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здійснюватися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ісля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подання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щодо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нарахованого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єдиного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внеску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загальнообов’язкове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державне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соціальне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місяці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розрахункового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періоду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808B3" w:rsidRDefault="00A808B3" w:rsidP="00041869">
            <w:pPr>
              <w:ind w:firstLine="709"/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цьому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з метою контролю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використанням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коштів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Фонду, до заяви-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розрахунку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пропонується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додавати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копію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таблиці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5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Відомості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трудові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відносини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осіб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Звіту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про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нарахованої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заробітної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плати (доходу, грошового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допомоги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компенсації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застрахованих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осіб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нарахованого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єдиного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внеску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загальнообов’язкове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державне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соц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іальне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органів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доходів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зборів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щодо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цивільно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-правового договору,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час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дії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настав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страховий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випадок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808B3" w:rsidRDefault="00A808B3" w:rsidP="00041869">
            <w:pPr>
              <w:ind w:firstLine="709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Обчислення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страхового стажу для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розрахунку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страхових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виплат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повинно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здійснюватися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даними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Державного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реєстру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загальнообов’язкового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державного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соц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іального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808B3" w:rsidRDefault="00A808B3" w:rsidP="00041869">
            <w:pPr>
              <w:tabs>
                <w:tab w:val="left" w:leader="hyphen" w:pos="7422"/>
                <w:tab w:val="left" w:leader="hyphen" w:pos="7902"/>
              </w:tabs>
              <w:ind w:firstLine="709"/>
              <w:jc w:val="both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частини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першої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статті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21 Закону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страховий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стаж 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період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(строк),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протягом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особа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ідлягала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зв’язку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тимчасовою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втратою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щомісяця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сплачено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нею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роботодавцем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або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нею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страхові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внески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сумі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меншій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ніж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мінімальний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страховий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внесок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крім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випадків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передбачених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абзацом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другим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цієї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частини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A808B3" w:rsidRDefault="00A808B3" w:rsidP="00041869">
            <w:pPr>
              <w:ind w:firstLine="709"/>
              <w:jc w:val="both"/>
            </w:pPr>
            <w:r>
              <w:rPr>
                <w:rFonts w:ascii="Verdana" w:hAnsi="Verdana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цьому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 страхового стажу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прирівнюється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трудовий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стаж,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набутий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працівником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час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роботи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умовах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трудового договору (контракту) до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набрання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чинності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Законом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загальнообов’язкове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державне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соц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іальне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зв’язку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тимчасовою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втратою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працездатності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витратами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зумовленими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похованням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», 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також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періоди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починаючи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 1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січня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2016 року,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протягом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яких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особа не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ідлягала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страхуванню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цим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Законом, але нею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або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роботодавцем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неї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сплачено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єдиний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внесок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загальнообов'язкове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державне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соціальне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відповідно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до Закону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«Про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збір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облік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єдиного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внеску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загальнообов’язкове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державне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соціальне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страхування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 (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частина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четверта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статті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21 Закону).</w:t>
            </w:r>
          </w:p>
          <w:p w:rsidR="00A808B3" w:rsidRDefault="00A808B3" w:rsidP="00041869">
            <w:pPr>
              <w:spacing w:before="100" w:beforeAutospacing="1" w:after="100" w:afterAutospacing="1"/>
            </w:pPr>
            <w:r w:rsidRPr="000C25CA"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</w:tc>
      </w:tr>
    </w:tbl>
    <w:p w:rsidR="00A808B3" w:rsidRPr="00344B32" w:rsidRDefault="00A808B3" w:rsidP="00A808B3">
      <w:pPr>
        <w:ind w:right="4676"/>
        <w:jc w:val="both"/>
        <w:rPr>
          <w:b/>
          <w:i/>
          <w:sz w:val="20"/>
          <w:szCs w:val="20"/>
          <w:lang w:val="uk-UA"/>
        </w:rPr>
      </w:pPr>
      <w:r w:rsidRPr="00344B32">
        <w:rPr>
          <w:b/>
          <w:i/>
          <w:sz w:val="20"/>
          <w:szCs w:val="20"/>
          <w:lang w:val="uk-UA"/>
        </w:rPr>
        <w:lastRenderedPageBreak/>
        <w:t>За додатковими роз’ясненнями просимо звертатись до Луцького відділення управління виконавчої дирекції Фонду соціального страхування України у Волинській області за тел.</w:t>
      </w:r>
      <w:r>
        <w:rPr>
          <w:b/>
          <w:i/>
          <w:sz w:val="20"/>
          <w:szCs w:val="20"/>
          <w:lang w:val="uk-UA"/>
        </w:rPr>
        <w:t xml:space="preserve">: </w:t>
      </w:r>
      <w:r w:rsidRPr="00344B32">
        <w:rPr>
          <w:b/>
          <w:i/>
          <w:sz w:val="20"/>
          <w:szCs w:val="20"/>
          <w:lang w:val="uk-UA"/>
        </w:rPr>
        <w:t xml:space="preserve"> 77-07-27,</w:t>
      </w:r>
      <w:r>
        <w:rPr>
          <w:b/>
          <w:i/>
          <w:sz w:val="20"/>
          <w:szCs w:val="20"/>
          <w:lang w:val="uk-UA"/>
        </w:rPr>
        <w:t xml:space="preserve">   </w:t>
      </w:r>
      <w:r w:rsidRPr="00344B32">
        <w:rPr>
          <w:b/>
          <w:i/>
          <w:sz w:val="20"/>
          <w:szCs w:val="20"/>
          <w:lang w:val="uk-UA"/>
        </w:rPr>
        <w:t>77-01-24,</w:t>
      </w:r>
      <w:r>
        <w:rPr>
          <w:b/>
          <w:i/>
          <w:sz w:val="20"/>
          <w:szCs w:val="20"/>
          <w:lang w:val="uk-UA"/>
        </w:rPr>
        <w:t xml:space="preserve">  </w:t>
      </w:r>
      <w:r w:rsidRPr="00344B32">
        <w:rPr>
          <w:b/>
          <w:i/>
          <w:sz w:val="20"/>
          <w:szCs w:val="20"/>
          <w:lang w:val="uk-UA"/>
        </w:rPr>
        <w:t xml:space="preserve"> 77-43-24</w:t>
      </w:r>
    </w:p>
    <w:p w:rsidR="00A808B3" w:rsidRPr="00344B32" w:rsidRDefault="00A808B3" w:rsidP="00A808B3">
      <w:pPr>
        <w:ind w:right="4818"/>
        <w:jc w:val="both"/>
        <w:rPr>
          <w:b/>
          <w:i/>
          <w:sz w:val="28"/>
          <w:szCs w:val="28"/>
          <w:lang w:val="uk-UA"/>
        </w:rPr>
      </w:pPr>
    </w:p>
    <w:p w:rsidR="00A808B3" w:rsidRDefault="00A808B3" w:rsidP="00A808B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808B3" w:rsidRDefault="00A808B3" w:rsidP="00A808B3">
      <w:pPr>
        <w:jc w:val="both"/>
        <w:rPr>
          <w:sz w:val="28"/>
          <w:szCs w:val="28"/>
          <w:lang w:val="uk-UA"/>
        </w:rPr>
      </w:pPr>
    </w:p>
    <w:p w:rsidR="00A808B3" w:rsidRDefault="00A808B3" w:rsidP="00A808B3">
      <w:pPr>
        <w:jc w:val="both"/>
        <w:rPr>
          <w:sz w:val="28"/>
          <w:szCs w:val="28"/>
          <w:lang w:val="uk-UA"/>
        </w:rPr>
      </w:pPr>
    </w:p>
    <w:p w:rsidR="00A808B3" w:rsidRDefault="00A808B3" w:rsidP="00A808B3">
      <w:pPr>
        <w:jc w:val="both"/>
        <w:rPr>
          <w:sz w:val="28"/>
          <w:szCs w:val="28"/>
          <w:lang w:val="uk-UA"/>
        </w:rPr>
      </w:pPr>
    </w:p>
    <w:p w:rsidR="00A808B3" w:rsidRDefault="00A808B3" w:rsidP="00A808B3">
      <w:pPr>
        <w:jc w:val="both"/>
        <w:rPr>
          <w:sz w:val="28"/>
          <w:szCs w:val="28"/>
          <w:lang w:val="uk-UA"/>
        </w:rPr>
      </w:pPr>
    </w:p>
    <w:p w:rsidR="00A808B3" w:rsidRDefault="00A808B3" w:rsidP="00A808B3">
      <w:pPr>
        <w:jc w:val="both"/>
        <w:rPr>
          <w:sz w:val="28"/>
          <w:szCs w:val="28"/>
          <w:lang w:val="uk-UA"/>
        </w:rPr>
      </w:pPr>
    </w:p>
    <w:p w:rsidR="00A808B3" w:rsidRDefault="00A808B3" w:rsidP="00A808B3">
      <w:pPr>
        <w:jc w:val="both"/>
        <w:rPr>
          <w:sz w:val="28"/>
          <w:szCs w:val="28"/>
          <w:lang w:val="uk-UA"/>
        </w:rPr>
      </w:pPr>
    </w:p>
    <w:p w:rsidR="00A808B3" w:rsidRPr="00344B32" w:rsidRDefault="00A808B3" w:rsidP="00A808B3"/>
    <w:p w:rsidR="00A30E7E" w:rsidRDefault="00A30E7E"/>
    <w:sectPr w:rsidR="00A30E7E" w:rsidSect="004302C8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B2"/>
    <w:rsid w:val="00A30E7E"/>
    <w:rsid w:val="00A808B3"/>
    <w:rsid w:val="00BB09CE"/>
    <w:rsid w:val="00C006DA"/>
    <w:rsid w:val="00CE7446"/>
    <w:rsid w:val="00E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3"/>
    <w:pPr>
      <w:jc w:val="left"/>
    </w:pPr>
    <w:rPr>
      <w:rFonts w:eastAsia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08B3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8B3"/>
    <w:rPr>
      <w:rFonts w:eastAsia="Times New Roman"/>
      <w:b/>
      <w:caps/>
      <w:color w:val="0000FF"/>
      <w:sz w:val="32"/>
      <w:lang w:eastAsia="ru-RU"/>
    </w:rPr>
  </w:style>
  <w:style w:type="character" w:customStyle="1" w:styleId="spelle">
    <w:name w:val="spelle"/>
    <w:rsid w:val="00A808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uk-UA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B3"/>
    <w:pPr>
      <w:jc w:val="left"/>
    </w:pPr>
    <w:rPr>
      <w:rFonts w:eastAsia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808B3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8B3"/>
    <w:rPr>
      <w:rFonts w:eastAsia="Times New Roman"/>
      <w:b/>
      <w:caps/>
      <w:color w:val="0000FF"/>
      <w:sz w:val="32"/>
      <w:lang w:eastAsia="ru-RU"/>
    </w:rPr>
  </w:style>
  <w:style w:type="character" w:customStyle="1" w:styleId="spelle">
    <w:name w:val="spelle"/>
    <w:rsid w:val="00A80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4273</Words>
  <Characters>2436</Characters>
  <Application>Microsoft Office Word</Application>
  <DocSecurity>0</DocSecurity>
  <Lines>20</Lines>
  <Paragraphs>13</Paragraphs>
  <ScaleCrop>false</ScaleCrop>
  <Company>Reanimator Extreme Edition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</cp:revision>
  <dcterms:created xsi:type="dcterms:W3CDTF">2018-04-10T11:23:00Z</dcterms:created>
  <dcterms:modified xsi:type="dcterms:W3CDTF">2018-04-10T11:24:00Z</dcterms:modified>
</cp:coreProperties>
</file>