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6E" w:rsidRPr="00D53B10" w:rsidRDefault="00785866" w:rsidP="003C7041">
      <w:pPr>
        <w:jc w:val="center"/>
        <w:rPr>
          <w:snapToGrid w:val="0"/>
          <w:spacing w:val="8"/>
        </w:rPr>
      </w:pPr>
      <w:r>
        <w:rPr>
          <w:noProof/>
          <w:spacing w:val="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8pt;visibility:visible" filled="t" fillcolor="silver">
            <v:imagedata r:id="rId7" o:title=""/>
          </v:shape>
        </w:pict>
      </w:r>
    </w:p>
    <w:p w:rsidR="00AC346E" w:rsidRPr="00D53B10" w:rsidRDefault="00AC346E" w:rsidP="003C7041">
      <w:pPr>
        <w:ind w:firstLine="709"/>
        <w:rPr>
          <w:b/>
          <w:bCs/>
          <w:spacing w:val="8"/>
          <w:sz w:val="16"/>
        </w:rPr>
      </w:pPr>
    </w:p>
    <w:p w:rsidR="00AC346E" w:rsidRPr="00D53B10" w:rsidRDefault="00AC346E" w:rsidP="003C7041">
      <w:pPr>
        <w:pStyle w:val="2"/>
        <w:ind w:left="0"/>
        <w:jc w:val="center"/>
        <w:rPr>
          <w:rFonts w:ascii="Times New Roman" w:hAnsi="Times New Roman"/>
          <w:spacing w:val="14"/>
          <w:sz w:val="28"/>
          <w:szCs w:val="28"/>
        </w:rPr>
      </w:pPr>
      <w:r w:rsidRPr="00D53B10">
        <w:rPr>
          <w:rFonts w:ascii="Times New Roman" w:hAnsi="Times New Roman"/>
          <w:spacing w:val="14"/>
          <w:sz w:val="28"/>
          <w:szCs w:val="28"/>
        </w:rPr>
        <w:t>ЛУЦЬКА РАЙОННА ДЕРЖАВНА АДМІНІСТРАЦІЯ</w:t>
      </w:r>
    </w:p>
    <w:p w:rsidR="00AC346E" w:rsidRPr="00D53B10" w:rsidRDefault="00AC346E" w:rsidP="003C7041">
      <w:pPr>
        <w:pStyle w:val="2"/>
        <w:ind w:left="0"/>
        <w:jc w:val="center"/>
        <w:rPr>
          <w:rFonts w:ascii="Times New Roman" w:hAnsi="Times New Roman"/>
          <w:spacing w:val="14"/>
          <w:sz w:val="28"/>
          <w:szCs w:val="28"/>
        </w:rPr>
      </w:pPr>
      <w:r w:rsidRPr="00D53B10">
        <w:rPr>
          <w:rFonts w:ascii="Times New Roman" w:hAnsi="Times New Roman"/>
          <w:spacing w:val="14"/>
          <w:sz w:val="28"/>
          <w:szCs w:val="28"/>
        </w:rPr>
        <w:t>ВОЛИНСЬКОЇ ОБЛАСТІ</w:t>
      </w:r>
    </w:p>
    <w:p w:rsidR="00AC346E" w:rsidRPr="00D53B10" w:rsidRDefault="00AC346E" w:rsidP="00D27A45">
      <w:pPr>
        <w:spacing w:line="192" w:lineRule="auto"/>
        <w:ind w:firstLine="709"/>
        <w:rPr>
          <w:rFonts w:ascii="Times New Roman" w:hAnsi="Times New Roman"/>
          <w:sz w:val="28"/>
          <w:szCs w:val="28"/>
        </w:rPr>
      </w:pPr>
    </w:p>
    <w:p w:rsidR="00AC346E" w:rsidRPr="00D53B10" w:rsidRDefault="00AC346E" w:rsidP="003C7041">
      <w:pPr>
        <w:pStyle w:val="2"/>
        <w:ind w:left="0"/>
        <w:jc w:val="center"/>
        <w:rPr>
          <w:rFonts w:ascii="Times New Roman" w:hAnsi="Times New Roman"/>
          <w:sz w:val="32"/>
          <w:szCs w:val="32"/>
        </w:rPr>
      </w:pPr>
      <w:r w:rsidRPr="00D53B10">
        <w:rPr>
          <w:rFonts w:ascii="Times New Roman" w:hAnsi="Times New Roman"/>
          <w:sz w:val="32"/>
          <w:szCs w:val="32"/>
        </w:rPr>
        <w:t>РОЗПОРЯДЖЕННЯ</w:t>
      </w:r>
    </w:p>
    <w:p w:rsidR="00AC346E" w:rsidRPr="00D53B10" w:rsidRDefault="00AC346E" w:rsidP="003C7041"/>
    <w:p w:rsidR="00AC346E" w:rsidRPr="00D53B10" w:rsidRDefault="00AC346E" w:rsidP="003C7041">
      <w:pPr>
        <w:tabs>
          <w:tab w:val="left" w:pos="4230"/>
          <w:tab w:val="left" w:pos="8145"/>
        </w:tabs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  <w:r w:rsidRPr="00D53B10">
        <w:rPr>
          <w:rFonts w:ascii="Times New Roman" w:hAnsi="Times New Roman"/>
          <w:bCs/>
          <w:color w:val="000000"/>
          <w:sz w:val="28"/>
          <w:lang w:eastAsia="ar-SA"/>
        </w:rPr>
        <w:t xml:space="preserve">    </w:t>
      </w:r>
      <w:r>
        <w:rPr>
          <w:rFonts w:ascii="Times New Roman" w:hAnsi="Times New Roman"/>
          <w:bCs/>
          <w:color w:val="000000"/>
          <w:sz w:val="28"/>
          <w:lang w:eastAsia="ar-SA"/>
        </w:rPr>
        <w:t>вересня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 xml:space="preserve">  2015 року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ab/>
        <w:t>м.</w:t>
      </w:r>
      <w:r>
        <w:rPr>
          <w:rFonts w:ascii="Times New Roman" w:hAnsi="Times New Roman"/>
          <w:bCs/>
          <w:color w:val="000000"/>
          <w:sz w:val="28"/>
          <w:lang w:eastAsia="ar-SA"/>
        </w:rPr>
        <w:t xml:space="preserve"> 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>Луцьк</w:t>
      </w:r>
      <w:r w:rsidRPr="00D53B10">
        <w:rPr>
          <w:rFonts w:ascii="Times New Roman" w:hAnsi="Times New Roman"/>
          <w:bCs/>
          <w:color w:val="000000"/>
          <w:sz w:val="28"/>
          <w:lang w:eastAsia="ar-SA"/>
        </w:rPr>
        <w:tab/>
        <w:t>№</w:t>
      </w:r>
    </w:p>
    <w:p w:rsidR="00AC346E" w:rsidRPr="00D53B10" w:rsidRDefault="00AC346E" w:rsidP="003C7041">
      <w:pPr>
        <w:suppressAutoHyphens/>
        <w:rPr>
          <w:rFonts w:ascii="Times New Roman" w:hAnsi="Times New Roman"/>
          <w:bCs/>
          <w:color w:val="000000"/>
          <w:sz w:val="28"/>
          <w:lang w:eastAsia="ar-SA"/>
        </w:rPr>
      </w:pPr>
    </w:p>
    <w:p w:rsidR="00AC346E" w:rsidRPr="007F0256" w:rsidRDefault="00AC346E" w:rsidP="000F53A3">
      <w:pPr>
        <w:spacing w:line="360" w:lineRule="auto"/>
        <w:ind w:right="623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 внесення змін до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розпорядження </w:t>
      </w:r>
      <w:r w:rsidRPr="007F0256">
        <w:rPr>
          <w:rFonts w:ascii="Times New Roman" w:hAnsi="Times New Roman"/>
          <w:sz w:val="28"/>
          <w:szCs w:val="28"/>
        </w:rPr>
        <w:t xml:space="preserve">голови районної державної адміністрації 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від 20 лютого 2015 року № 49</w:t>
      </w:r>
      <w:r w:rsidRPr="007F0256">
        <w:rPr>
          <w:rFonts w:ascii="Times New Roman" w:hAnsi="Times New Roman"/>
          <w:sz w:val="28"/>
          <w:szCs w:val="28"/>
        </w:rPr>
        <w:t xml:space="preserve"> «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Про організацію громадських та інших робіт тим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часового характеру на 2015 рік»</w:t>
      </w:r>
    </w:p>
    <w:p w:rsidR="00AC346E" w:rsidRDefault="00AC346E" w:rsidP="000F53A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Pr="00D53B10" w:rsidRDefault="00AC346E" w:rsidP="000F53A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пункту 34 статті 2, статті 5 «Бюджетного кодексу України»,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статей 6, 13, 24, 41 Закону України «Про місцеві державні адміністрації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, стат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ей 20,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31 Закону України «Про зайнятість населення»,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останови Кабінету Міністрів України від 20 березня 2013 року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№ 175 «Про затвердження Порядку організації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громадських та інших робіт тимчасового характеру», </w:t>
      </w:r>
      <w:r w:rsidRPr="00D53B10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ів</w:t>
      </w:r>
      <w:r w:rsidRPr="00D53B10">
        <w:rPr>
          <w:rFonts w:ascii="Times New Roman" w:hAnsi="Times New Roman"/>
          <w:sz w:val="28"/>
          <w:szCs w:val="28"/>
        </w:rPr>
        <w:t xml:space="preserve"> Президента України від 16 січня 2013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19/2013 «</w:t>
      </w:r>
      <w:r w:rsidRPr="00D53B10">
        <w:rPr>
          <w:rFonts w:ascii="Times New Roman" w:hAnsi="Times New Roman"/>
          <w:bCs/>
          <w:sz w:val="28"/>
          <w:szCs w:val="28"/>
        </w:rPr>
        <w:t>Про Державну службу зайнятості України»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 </w:t>
      </w:r>
      <w:r w:rsidRPr="00D53B10">
        <w:rPr>
          <w:rFonts w:ascii="Times New Roman" w:hAnsi="Times New Roman"/>
          <w:sz w:val="28"/>
          <w:szCs w:val="28"/>
        </w:rPr>
        <w:t>від 16 січня 2013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10">
        <w:rPr>
          <w:rFonts w:ascii="Times New Roman" w:hAnsi="Times New Roman"/>
          <w:sz w:val="28"/>
          <w:szCs w:val="28"/>
        </w:rPr>
        <w:t>19/2013 «</w:t>
      </w:r>
      <w:r w:rsidRPr="00D53B10">
        <w:rPr>
          <w:rFonts w:ascii="Times New Roman" w:hAnsi="Times New Roman"/>
          <w:bCs/>
          <w:sz w:val="28"/>
          <w:szCs w:val="28"/>
        </w:rPr>
        <w:t>Про Державну службу зайнятості України»</w:t>
      </w:r>
      <w:r>
        <w:rPr>
          <w:rFonts w:ascii="Times New Roman" w:hAnsi="Times New Roman"/>
          <w:bCs/>
          <w:sz w:val="28"/>
          <w:szCs w:val="28"/>
        </w:rPr>
        <w:t xml:space="preserve">, листа Міністерства соціальної політики України від 19 серпня 2015 року № 12408/0/14-15/5 </w:t>
      </w:r>
      <w:r w:rsidRPr="00D53B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залучення безробітних до роботи з оформлення житлових субсидій</w:t>
      </w:r>
      <w:r w:rsidRPr="00D53B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з метою вдосконалення організації громадських та інших робіт тимчасового характеру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AC346E" w:rsidRPr="00D53B10" w:rsidRDefault="00AC346E" w:rsidP="000F53A3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Default="00AC346E" w:rsidP="00AA3022">
      <w:pPr>
        <w:tabs>
          <w:tab w:val="left" w:pos="612"/>
        </w:tabs>
        <w:suppressAutoHyphens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Внести до 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розпорядження </w:t>
      </w:r>
      <w:r w:rsidRPr="007F0256">
        <w:rPr>
          <w:rFonts w:ascii="Times New Roman" w:hAnsi="Times New Roman"/>
          <w:sz w:val="28"/>
          <w:szCs w:val="28"/>
        </w:rPr>
        <w:t xml:space="preserve">голови районної державної адміністрації 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від 20 лютого 2015 року № 49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7F0256">
        <w:rPr>
          <w:rFonts w:ascii="Times New Roman" w:hAnsi="Times New Roman"/>
          <w:sz w:val="28"/>
          <w:szCs w:val="28"/>
        </w:rPr>
        <w:t>«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Про організацію громадських та інших робіт тимчасового характеру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 2015 рік»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,   зареєстрованого  в  Луцькому районному </w:t>
      </w:r>
    </w:p>
    <w:p w:rsidR="00AC346E" w:rsidRDefault="00AC346E" w:rsidP="001D46C0">
      <w:pPr>
        <w:tabs>
          <w:tab w:val="left" w:pos="612"/>
        </w:tabs>
        <w:suppressAutoHyphens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>2</w:t>
      </w:r>
    </w:p>
    <w:p w:rsidR="00AC346E" w:rsidRDefault="00AC346E" w:rsidP="001D46C0">
      <w:pPr>
        <w:tabs>
          <w:tab w:val="left" w:pos="612"/>
        </w:tabs>
        <w:suppressAutoHyphens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управлінні юстиції Волинської області 02 березня 2015 року за № 2/121</w:t>
      </w:r>
      <w:r w:rsidRPr="007F02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такі зміни:</w:t>
      </w:r>
    </w:p>
    <w:p w:rsidR="00AC346E" w:rsidRPr="005C3C77" w:rsidRDefault="00AC346E" w:rsidP="000F53A3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пункт 3 розпорядження</w:t>
      </w:r>
      <w:r w:rsidRPr="002449D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викласти у такій редакції: </w:t>
      </w:r>
    </w:p>
    <w:p w:rsidR="00AC346E" w:rsidRPr="001E446F" w:rsidRDefault="00AC346E" w:rsidP="005C3C77">
      <w:pPr>
        <w:pStyle w:val="a9"/>
        <w:tabs>
          <w:tab w:val="left" w:pos="993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Default="00AC346E" w:rsidP="000F53A3">
      <w:pPr>
        <w:pStyle w:val="a9"/>
        <w:tabs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82E25">
        <w:rPr>
          <w:rFonts w:ascii="Times New Roman" w:hAnsi="Times New Roman"/>
          <w:bCs/>
          <w:color w:val="000000"/>
          <w:sz w:val="28"/>
          <w:szCs w:val="28"/>
          <w:lang w:eastAsia="ar-SA"/>
        </w:rPr>
        <w:t>«3.</w:t>
      </w:r>
      <w:r w:rsidRPr="00882E25">
        <w:rPr>
          <w:rFonts w:ascii="Times New Roman" w:hAnsi="Times New Roman"/>
          <w:sz w:val="28"/>
          <w:szCs w:val="28"/>
        </w:rPr>
        <w:t xml:space="preserve">Фінансування 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>громадських робіт здійснювати за рахунок коштів місцевих бюджетів, роботодавців та інших не заборонених законодавством джерел</w:t>
      </w:r>
      <w:r w:rsidRPr="00882E25">
        <w:rPr>
          <w:rFonts w:ascii="Times New Roman" w:hAnsi="Times New Roman"/>
          <w:sz w:val="28"/>
          <w:szCs w:val="28"/>
        </w:rPr>
        <w:t xml:space="preserve">, а у разі 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залучення до громадських робіт зареєстрованих безробітних </w:t>
      </w:r>
      <w:r w:rsidRPr="00882E25">
        <w:rPr>
          <w:rFonts w:ascii="Times New Roman" w:hAnsi="Times New Roman"/>
          <w:sz w:val="28"/>
          <w:szCs w:val="28"/>
        </w:rPr>
        <w:t xml:space="preserve">та/або працівників, які втратили частину заробітної плати, </w:t>
      </w:r>
      <w:r w:rsidRPr="00882E25">
        <w:rPr>
          <w:rFonts w:ascii="Times New Roman" w:hAnsi="Times New Roman"/>
          <w:color w:val="000000"/>
          <w:sz w:val="28"/>
          <w:szCs w:val="28"/>
          <w:lang w:eastAsia="ar-SA"/>
        </w:rPr>
        <w:t>фінансування організації таких робіт здійснювати за рахунок коштів місцевих бюджетів та/або Фонду загальнообов'язкового державного соціального страхування України на випадок безробіття».</w:t>
      </w:r>
    </w:p>
    <w:p w:rsidR="00AC346E" w:rsidRPr="00882E25" w:rsidRDefault="00AC346E" w:rsidP="000F53A3">
      <w:pPr>
        <w:pStyle w:val="a9"/>
        <w:tabs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Pr="005C3C77" w:rsidRDefault="00AC346E" w:rsidP="000F53A3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доповнити розпорядження Переліком органів місцевого самоврядування та підприємств, установ, організацій району, </w:t>
      </w:r>
      <w:r>
        <w:rPr>
          <w:rFonts w:ascii="Times New Roman" w:hAnsi="Times New Roman"/>
          <w:sz w:val="28"/>
          <w:szCs w:val="28"/>
        </w:rPr>
        <w:t>де планується організація громадських робіт у 2015 році (додається).</w:t>
      </w:r>
    </w:p>
    <w:p w:rsidR="00AC346E" w:rsidRPr="002C79D6" w:rsidRDefault="00AC346E" w:rsidP="005C3C77">
      <w:pPr>
        <w:pStyle w:val="a9"/>
        <w:tabs>
          <w:tab w:val="left" w:pos="993"/>
        </w:tabs>
        <w:suppressAutoHyphens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Default="00AC346E" w:rsidP="000F53A3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53B10">
        <w:rPr>
          <w:rFonts w:ascii="Times New Roman" w:hAnsi="Times New Roman"/>
          <w:sz w:val="28"/>
          <w:szCs w:val="28"/>
        </w:rPr>
        <w:t xml:space="preserve">2.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Юридичному сектору апарату районної державної адміністрації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(О.Стефанська)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забезпечити </w:t>
      </w:r>
      <w:r w:rsidRPr="00F6403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 п’ятиденний термін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подання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цього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розпорядження на державну реєстрацію в Луцьке районне управління юстиції.</w:t>
      </w:r>
    </w:p>
    <w:p w:rsidR="00AC346E" w:rsidRPr="00D53B10" w:rsidRDefault="00AC346E" w:rsidP="000F53A3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Default="00AC346E" w:rsidP="000F53A3">
      <w:pPr>
        <w:tabs>
          <w:tab w:val="left" w:pos="612"/>
        </w:tabs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 Відділу інформаційної діяльності, інформаційних технологій та комунікацій з громадськістю апарату районної державної адміністрації (Т.Тирилюк) оприлюднити це розпорядження у районній газеті «Слава праці».</w:t>
      </w:r>
    </w:p>
    <w:p w:rsidR="00AC346E" w:rsidRPr="00D53B10" w:rsidRDefault="00AC346E" w:rsidP="000F53A3">
      <w:pPr>
        <w:tabs>
          <w:tab w:val="left" w:pos="612"/>
        </w:tabs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Default="00AC346E" w:rsidP="000F53A3">
      <w:pPr>
        <w:tabs>
          <w:tab w:val="left" w:pos="612"/>
        </w:tabs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Установити, що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це 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розпорядження набирає чинності з моменту його державної реєстрації та оприлюднення в районній газеті «Слава праці».</w:t>
      </w:r>
    </w:p>
    <w:p w:rsidR="00AC346E" w:rsidRPr="00D53B10" w:rsidRDefault="00AC346E" w:rsidP="000F53A3">
      <w:pPr>
        <w:tabs>
          <w:tab w:val="left" w:pos="612"/>
        </w:tabs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Default="00AC346E" w:rsidP="000F53A3">
      <w:pPr>
        <w:tabs>
          <w:tab w:val="left" w:pos="612"/>
          <w:tab w:val="left" w:pos="972"/>
        </w:tabs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D53B10">
        <w:rPr>
          <w:rFonts w:ascii="Times New Roman" w:hAnsi="Times New Roman"/>
          <w:color w:val="000000"/>
          <w:sz w:val="28"/>
          <w:szCs w:val="28"/>
          <w:lang w:eastAsia="ar-SA"/>
        </w:rPr>
        <w:t>. Контроль за виконанням цього розпорядження залишаю за собою.</w:t>
      </w:r>
    </w:p>
    <w:p w:rsidR="00AC346E" w:rsidRPr="00D53B10" w:rsidRDefault="00AC346E" w:rsidP="000F53A3">
      <w:pPr>
        <w:tabs>
          <w:tab w:val="left" w:pos="612"/>
          <w:tab w:val="left" w:pos="972"/>
        </w:tabs>
        <w:suppressAutoHyphens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C346E" w:rsidRPr="00D53B10" w:rsidRDefault="00AC346E" w:rsidP="000F53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Голова</w:t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5C3C77">
        <w:rPr>
          <w:rFonts w:ascii="Times New Roman" w:hAnsi="Times New Roman"/>
          <w:b/>
          <w:sz w:val="28"/>
          <w:szCs w:val="28"/>
        </w:rPr>
        <w:t>І.ЯРМОЛЬСЬКИЙ</w:t>
      </w:r>
    </w:p>
    <w:p w:rsidR="00AC346E" w:rsidRPr="00AA3022" w:rsidRDefault="00AC346E" w:rsidP="000F53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Овадюк</w:t>
      </w:r>
      <w:r w:rsidRPr="00AA3022">
        <w:rPr>
          <w:rFonts w:ascii="Times New Roman" w:hAnsi="Times New Roman"/>
          <w:sz w:val="28"/>
          <w:szCs w:val="28"/>
        </w:rPr>
        <w:t xml:space="preserve"> 7195907</w:t>
      </w:r>
    </w:p>
    <w:p w:rsidR="00AC346E" w:rsidRDefault="00AC346E" w:rsidP="000F53A3">
      <w:pPr>
        <w:spacing w:line="360" w:lineRule="auto"/>
        <w:rPr>
          <w:rFonts w:ascii="Times New Roman" w:hAnsi="Times New Roman"/>
          <w:sz w:val="28"/>
          <w:szCs w:val="28"/>
        </w:rPr>
        <w:sectPr w:rsidR="00AC346E" w:rsidSect="00AA3022">
          <w:pgSz w:w="11906" w:h="16838"/>
          <w:pgMar w:top="737" w:right="567" w:bottom="567" w:left="1701" w:header="709" w:footer="709" w:gutter="0"/>
          <w:cols w:space="708"/>
          <w:docGrid w:linePitch="360"/>
        </w:sectPr>
      </w:pPr>
    </w:p>
    <w:p w:rsidR="00AC346E" w:rsidRDefault="00AC346E" w:rsidP="00393372">
      <w:pPr>
        <w:ind w:left="5387" w:firstLine="6"/>
        <w:rPr>
          <w:rFonts w:ascii="Times New Roman" w:hAnsi="Times New Roman"/>
          <w:color w:val="000000"/>
          <w:spacing w:val="-9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Додаток</w:t>
      </w:r>
    </w:p>
    <w:p w:rsidR="00AC346E" w:rsidRPr="00D53B10" w:rsidRDefault="00AC346E" w:rsidP="00393372">
      <w:pPr>
        <w:ind w:left="5387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до розпорядження </w:t>
      </w:r>
      <w:r w:rsidRPr="00D53B10">
        <w:rPr>
          <w:rFonts w:ascii="Times New Roman" w:hAnsi="Times New Roman"/>
          <w:sz w:val="28"/>
          <w:szCs w:val="28"/>
        </w:rPr>
        <w:t>голови</w:t>
      </w:r>
    </w:p>
    <w:p w:rsidR="00AC346E" w:rsidRPr="00D53B10" w:rsidRDefault="00AC346E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AC346E" w:rsidRPr="00D53B10" w:rsidRDefault="00AC346E" w:rsidP="0044410B">
      <w:pPr>
        <w:spacing w:line="360" w:lineRule="auto"/>
        <w:ind w:left="5387"/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 xml:space="preserve">     .0</w:t>
      </w:r>
      <w:r>
        <w:rPr>
          <w:rFonts w:ascii="Times New Roman" w:hAnsi="Times New Roman"/>
          <w:sz w:val="28"/>
          <w:szCs w:val="28"/>
        </w:rPr>
        <w:t>9</w:t>
      </w:r>
      <w:r w:rsidRPr="00D53B10">
        <w:rPr>
          <w:rFonts w:ascii="Times New Roman" w:hAnsi="Times New Roman"/>
          <w:sz w:val="28"/>
          <w:szCs w:val="28"/>
        </w:rPr>
        <w:t>. 2015  №</w:t>
      </w:r>
    </w:p>
    <w:p w:rsidR="00AC346E" w:rsidRDefault="00AC346E" w:rsidP="00393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</w:t>
      </w:r>
    </w:p>
    <w:p w:rsidR="00AC346E" w:rsidRPr="00393372" w:rsidRDefault="00AC346E" w:rsidP="00393372">
      <w:pPr>
        <w:jc w:val="center"/>
        <w:rPr>
          <w:rFonts w:ascii="Times New Roman" w:hAnsi="Times New Roman"/>
          <w:sz w:val="28"/>
          <w:szCs w:val="28"/>
        </w:rPr>
      </w:pPr>
      <w:r w:rsidRPr="00393372">
        <w:rPr>
          <w:rFonts w:ascii="Times New Roman" w:hAnsi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та підприємств, установ, організацій</w:t>
      </w:r>
      <w:r w:rsidRPr="00393372">
        <w:rPr>
          <w:rFonts w:ascii="Times New Roman" w:hAnsi="Times New Roman"/>
          <w:sz w:val="28"/>
          <w:szCs w:val="28"/>
        </w:rPr>
        <w:t xml:space="preserve">, </w:t>
      </w:r>
    </w:p>
    <w:p w:rsidR="00AC346E" w:rsidRPr="00393372" w:rsidRDefault="00AC346E" w:rsidP="00393372">
      <w:pPr>
        <w:jc w:val="center"/>
        <w:rPr>
          <w:rFonts w:ascii="Times New Roman" w:hAnsi="Times New Roman"/>
          <w:b/>
          <w:sz w:val="28"/>
          <w:szCs w:val="28"/>
        </w:rPr>
      </w:pPr>
      <w:r w:rsidRPr="00393372">
        <w:rPr>
          <w:rFonts w:ascii="Times New Roman" w:hAnsi="Times New Roman"/>
          <w:sz w:val="28"/>
          <w:szCs w:val="28"/>
        </w:rPr>
        <w:t>де планується організація громадських робіт у 2015 році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242"/>
        <w:gridCol w:w="4758"/>
      </w:tblGrid>
      <w:tr w:rsidR="00AC346E" w:rsidRPr="00393372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393372" w:rsidRDefault="00AC346E" w:rsidP="001E4624">
            <w:pPr>
              <w:pStyle w:val="ac"/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93372"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393372" w:rsidRDefault="00AC346E" w:rsidP="001E4624">
            <w:pPr>
              <w:pStyle w:val="ac"/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93372"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46E" w:rsidRPr="00393372" w:rsidRDefault="00AC346E" w:rsidP="001E4624">
            <w:pPr>
              <w:pStyle w:val="ac"/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93372"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Баївська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682D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Баківцівська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Білостоцька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Боголюбська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Боратинська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Буянівська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Веселівська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Воютинська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Гіркополонківська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Городищенська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Заборольська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Коршівська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Лаврівська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Липинська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Лищенська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Маяківська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Несвічівська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Одерадівська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Підгайцівська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Піддубцівська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Промінська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Радомишльська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Ратнівська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Романівська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Садівська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Смолигівська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Хорохоринська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Чаруківська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Шепельська сільська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Рокинівська селищна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BE52C1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>Торчинська селищна рада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  <w:tr w:rsidR="00AC346E" w:rsidRPr="00606C04" w:rsidTr="00682DE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6E" w:rsidRPr="00606C04" w:rsidRDefault="00AC346E" w:rsidP="00393372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Style w:val="ad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6E" w:rsidRPr="00606C04" w:rsidRDefault="00AC346E" w:rsidP="001E4624">
            <w:pPr>
              <w:rPr>
                <w:rFonts w:ascii="Times New Roman" w:hAnsi="Times New Roman"/>
                <w:sz w:val="28"/>
                <w:szCs w:val="28"/>
              </w:rPr>
            </w:pPr>
            <w:r w:rsidRPr="00606C04">
              <w:rPr>
                <w:rFonts w:ascii="Times New Roman" w:hAnsi="Times New Roman"/>
                <w:sz w:val="28"/>
                <w:szCs w:val="28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райдержадміністрації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6E" w:rsidRPr="00606C04" w:rsidRDefault="00AC346E" w:rsidP="00BE52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>ФЗДССУВБ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6403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/або</w:t>
            </w:r>
            <w:r w:rsidRPr="00606C04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місцевий бюджет</w:t>
            </w:r>
          </w:p>
        </w:tc>
      </w:tr>
    </w:tbl>
    <w:p w:rsidR="00AC346E" w:rsidRPr="00606C04" w:rsidRDefault="00AC346E" w:rsidP="00393372">
      <w:pPr>
        <w:jc w:val="both"/>
        <w:rPr>
          <w:rFonts w:ascii="Times New Roman" w:hAnsi="Times New Roman"/>
          <w:sz w:val="28"/>
          <w:szCs w:val="28"/>
        </w:rPr>
      </w:pPr>
    </w:p>
    <w:p w:rsidR="00AC346E" w:rsidRPr="00D53B10" w:rsidRDefault="00AC346E" w:rsidP="001E4624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 xml:space="preserve">Заступник керівника апарату – </w:t>
      </w:r>
    </w:p>
    <w:p w:rsidR="00AC346E" w:rsidRPr="00D53B10" w:rsidRDefault="00AC346E" w:rsidP="001E4624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начальник відділу організаційно-</w:t>
      </w:r>
    </w:p>
    <w:p w:rsidR="00AC346E" w:rsidRPr="00D53B10" w:rsidRDefault="00AC346E" w:rsidP="001E4624">
      <w:pPr>
        <w:rPr>
          <w:rFonts w:ascii="Times New Roman" w:hAnsi="Times New Roman"/>
          <w:sz w:val="28"/>
          <w:szCs w:val="28"/>
        </w:rPr>
      </w:pPr>
      <w:r w:rsidRPr="00D53B10">
        <w:rPr>
          <w:rFonts w:ascii="Times New Roman" w:hAnsi="Times New Roman"/>
          <w:sz w:val="28"/>
          <w:szCs w:val="28"/>
        </w:rPr>
        <w:t>кадрової роботи районної</w:t>
      </w:r>
    </w:p>
    <w:p w:rsidR="00AC346E" w:rsidRPr="00D53B10" w:rsidRDefault="00AC346E" w:rsidP="00305943">
      <w:pPr>
        <w:rPr>
          <w:rFonts w:ascii="Times New Roman" w:hAnsi="Times New Roman"/>
        </w:rPr>
      </w:pPr>
      <w:r w:rsidRPr="00D53B10">
        <w:rPr>
          <w:rFonts w:ascii="Times New Roman" w:hAnsi="Times New Roman"/>
          <w:sz w:val="28"/>
          <w:szCs w:val="28"/>
        </w:rPr>
        <w:t>державної адміністрації</w:t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</w:r>
      <w:r w:rsidRPr="00D53B10">
        <w:rPr>
          <w:rFonts w:ascii="Times New Roman" w:hAnsi="Times New Roman"/>
          <w:sz w:val="28"/>
          <w:szCs w:val="28"/>
        </w:rPr>
        <w:tab/>
        <w:t>В. Калитюк</w:t>
      </w:r>
    </w:p>
    <w:sectPr w:rsidR="00AC346E" w:rsidRPr="00D53B10" w:rsidSect="00305943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67" w:rsidRDefault="00041467" w:rsidP="00762839">
      <w:r>
        <w:separator/>
      </w:r>
    </w:p>
  </w:endnote>
  <w:endnote w:type="continuationSeparator" w:id="0">
    <w:p w:rsidR="00041467" w:rsidRDefault="00041467" w:rsidP="007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67" w:rsidRDefault="00041467" w:rsidP="00762839">
      <w:r>
        <w:separator/>
      </w:r>
    </w:p>
  </w:footnote>
  <w:footnote w:type="continuationSeparator" w:id="0">
    <w:p w:rsidR="00041467" w:rsidRDefault="00041467" w:rsidP="0076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B49"/>
    <w:multiLevelType w:val="hybridMultilevel"/>
    <w:tmpl w:val="34BE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83BF1"/>
    <w:multiLevelType w:val="hybridMultilevel"/>
    <w:tmpl w:val="DDAC9E8A"/>
    <w:lvl w:ilvl="0" w:tplc="4440D73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52997C75"/>
    <w:multiLevelType w:val="hybridMultilevel"/>
    <w:tmpl w:val="9176FC14"/>
    <w:lvl w:ilvl="0" w:tplc="A9EC55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78"/>
    <w:rsid w:val="00041467"/>
    <w:rsid w:val="00042111"/>
    <w:rsid w:val="0008239D"/>
    <w:rsid w:val="00091D8D"/>
    <w:rsid w:val="000A3D19"/>
    <w:rsid w:val="000A7BF6"/>
    <w:rsid w:val="000B44ED"/>
    <w:rsid w:val="000E48AA"/>
    <w:rsid w:val="000F53A3"/>
    <w:rsid w:val="000F6907"/>
    <w:rsid w:val="00113920"/>
    <w:rsid w:val="001234E0"/>
    <w:rsid w:val="0014053C"/>
    <w:rsid w:val="00152680"/>
    <w:rsid w:val="00183700"/>
    <w:rsid w:val="001A638C"/>
    <w:rsid w:val="001C7FB9"/>
    <w:rsid w:val="001D3350"/>
    <w:rsid w:val="001D46C0"/>
    <w:rsid w:val="001E070C"/>
    <w:rsid w:val="001E446F"/>
    <w:rsid w:val="001E4624"/>
    <w:rsid w:val="001E5B6F"/>
    <w:rsid w:val="002449DF"/>
    <w:rsid w:val="00275A00"/>
    <w:rsid w:val="002777B2"/>
    <w:rsid w:val="00277978"/>
    <w:rsid w:val="00293D96"/>
    <w:rsid w:val="002A669C"/>
    <w:rsid w:val="002B69E3"/>
    <w:rsid w:val="002C79D6"/>
    <w:rsid w:val="002D0BB4"/>
    <w:rsid w:val="002F3359"/>
    <w:rsid w:val="00305943"/>
    <w:rsid w:val="00323C99"/>
    <w:rsid w:val="00323FB3"/>
    <w:rsid w:val="00393372"/>
    <w:rsid w:val="003B4C32"/>
    <w:rsid w:val="003C7041"/>
    <w:rsid w:val="003E6901"/>
    <w:rsid w:val="003E6D98"/>
    <w:rsid w:val="00437367"/>
    <w:rsid w:val="0044410B"/>
    <w:rsid w:val="00451D1C"/>
    <w:rsid w:val="00492E39"/>
    <w:rsid w:val="004A079C"/>
    <w:rsid w:val="0051138E"/>
    <w:rsid w:val="005439A9"/>
    <w:rsid w:val="0057251D"/>
    <w:rsid w:val="0057286D"/>
    <w:rsid w:val="00585061"/>
    <w:rsid w:val="00592809"/>
    <w:rsid w:val="005A6177"/>
    <w:rsid w:val="005C3C77"/>
    <w:rsid w:val="005C7098"/>
    <w:rsid w:val="005D2A4F"/>
    <w:rsid w:val="00606C04"/>
    <w:rsid w:val="00633005"/>
    <w:rsid w:val="00646406"/>
    <w:rsid w:val="0067598F"/>
    <w:rsid w:val="00682DE0"/>
    <w:rsid w:val="006A1DBF"/>
    <w:rsid w:val="006D75A5"/>
    <w:rsid w:val="00722F7F"/>
    <w:rsid w:val="00726337"/>
    <w:rsid w:val="00735BE6"/>
    <w:rsid w:val="00762839"/>
    <w:rsid w:val="007701C7"/>
    <w:rsid w:val="00785866"/>
    <w:rsid w:val="007E3087"/>
    <w:rsid w:val="007E784E"/>
    <w:rsid w:val="007F0256"/>
    <w:rsid w:val="0084700B"/>
    <w:rsid w:val="008503E1"/>
    <w:rsid w:val="00852478"/>
    <w:rsid w:val="00882E25"/>
    <w:rsid w:val="008B11E4"/>
    <w:rsid w:val="008C1748"/>
    <w:rsid w:val="008D51C9"/>
    <w:rsid w:val="008E0CCD"/>
    <w:rsid w:val="00921E5C"/>
    <w:rsid w:val="00931F00"/>
    <w:rsid w:val="009640C3"/>
    <w:rsid w:val="009825E4"/>
    <w:rsid w:val="009C6D4A"/>
    <w:rsid w:val="009D08BC"/>
    <w:rsid w:val="00A84E5B"/>
    <w:rsid w:val="00AA3022"/>
    <w:rsid w:val="00AA498E"/>
    <w:rsid w:val="00AC28B5"/>
    <w:rsid w:val="00AC2A52"/>
    <w:rsid w:val="00AC346E"/>
    <w:rsid w:val="00AD57B9"/>
    <w:rsid w:val="00AF6814"/>
    <w:rsid w:val="00B70018"/>
    <w:rsid w:val="00B73602"/>
    <w:rsid w:val="00BA0957"/>
    <w:rsid w:val="00BC51C0"/>
    <w:rsid w:val="00BE0D40"/>
    <w:rsid w:val="00BE52C1"/>
    <w:rsid w:val="00BF0C57"/>
    <w:rsid w:val="00BF0E5E"/>
    <w:rsid w:val="00BF2653"/>
    <w:rsid w:val="00C03813"/>
    <w:rsid w:val="00C052A0"/>
    <w:rsid w:val="00C21B08"/>
    <w:rsid w:val="00C25B7B"/>
    <w:rsid w:val="00C5731A"/>
    <w:rsid w:val="00C9402F"/>
    <w:rsid w:val="00CD1B0B"/>
    <w:rsid w:val="00D11E96"/>
    <w:rsid w:val="00D27A45"/>
    <w:rsid w:val="00D525D8"/>
    <w:rsid w:val="00D53B10"/>
    <w:rsid w:val="00D578B2"/>
    <w:rsid w:val="00DA0A38"/>
    <w:rsid w:val="00DB10F5"/>
    <w:rsid w:val="00DB14B7"/>
    <w:rsid w:val="00DD5B43"/>
    <w:rsid w:val="00DF06DC"/>
    <w:rsid w:val="00E3454A"/>
    <w:rsid w:val="00E7059E"/>
    <w:rsid w:val="00E923EC"/>
    <w:rsid w:val="00ED56A0"/>
    <w:rsid w:val="00F16689"/>
    <w:rsid w:val="00F64032"/>
    <w:rsid w:val="00F65644"/>
    <w:rsid w:val="00F95314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2BD29-6A55-44B6-85E8-665B9411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41"/>
    <w:rPr>
      <w:rFonts w:ascii="Antiqua" w:eastAsia="Times New Roman" w:hAnsi="Antiqua"/>
      <w:sz w:val="2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C7041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C7041"/>
    <w:rPr>
      <w:rFonts w:ascii="Antiqua" w:hAnsi="Antiqua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7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704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628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762839"/>
    <w:rPr>
      <w:rFonts w:ascii="Antiqua" w:hAnsi="Antiqu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6283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762839"/>
    <w:rPr>
      <w:rFonts w:ascii="Antiqua" w:hAnsi="Antiqua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46406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6A1DBF"/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semiHidden/>
    <w:rsid w:val="00152680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3372"/>
    <w:pPr>
      <w:spacing w:after="150"/>
    </w:pPr>
    <w:rPr>
      <w:rFonts w:ascii="Times New Roman" w:hAnsi="Times New Roman"/>
      <w:sz w:val="24"/>
      <w:szCs w:val="24"/>
      <w:lang w:val="ru-RU"/>
    </w:rPr>
  </w:style>
  <w:style w:type="character" w:styleId="ad">
    <w:name w:val="Strong"/>
    <w:uiPriority w:val="99"/>
    <w:qFormat/>
    <w:locked/>
    <w:rsid w:val="0039337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Коршівська</dc:creator>
  <cp:keywords/>
  <dc:description/>
  <cp:lastModifiedBy>М</cp:lastModifiedBy>
  <cp:revision>22</cp:revision>
  <cp:lastPrinted>2015-09-03T17:12:00Z</cp:lastPrinted>
  <dcterms:created xsi:type="dcterms:W3CDTF">2015-08-31T14:14:00Z</dcterms:created>
  <dcterms:modified xsi:type="dcterms:W3CDTF">2015-09-04T09:28:00Z</dcterms:modified>
</cp:coreProperties>
</file>